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аукциона в электронной форме</w:t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  <w:sz w:val="28"/>
          <w:szCs w:val="28"/>
        </w:rPr>
        <w:t>по продаже имущества ПАО «ДЭК»</w:t>
      </w:r>
    </w:p>
    <w:p>
      <w:pPr>
        <w:pStyle w:val="Tableheader"/>
        <w:widowControl w:val="false"/>
        <w:ind w:firstLine="540"/>
        <w:rPr>
          <w:b w:val="false"/>
          <w:sz w:val="26"/>
          <w:szCs w:val="26"/>
        </w:rPr>
      </w:pPr>
      <w:r>
        <w:rPr>
          <w:sz w:val="26"/>
          <w:szCs w:val="26"/>
        </w:rPr>
        <w:t>Продавец (организатор продажи)</w:t>
      </w:r>
      <w:r>
        <w:rPr>
          <w:b w:val="false"/>
          <w:sz w:val="26"/>
          <w:szCs w:val="26"/>
        </w:rPr>
        <w:t xml:space="preserve">: Публичное акционерное общество «Дальневосточная энергетическая компания» (ПАО «ДЭК»), место нахождения: Российская Федерация, г. Владивосток, адрес, почтовый адрес:  690091, Приморский край, г. Владивосток, ул. Тигровая, 19, адрес электронной почты: </w:t>
      </w:r>
      <w:hyperlink r:id="rId2">
        <w:r>
          <w:rPr>
            <w:rStyle w:val="Hyperlink"/>
            <w:b w:val="false"/>
            <w:sz w:val="26"/>
            <w:szCs w:val="26"/>
          </w:rPr>
          <w:t>priemn@dvec.ru</w:t>
        </w:r>
      </w:hyperlink>
      <w:r>
        <w:rPr>
          <w:b w:val="false"/>
          <w:sz w:val="26"/>
          <w:szCs w:val="26"/>
        </w:rPr>
        <w:t xml:space="preserve">, телефон: 8 (423) 240-68-45, контактное лицо: Аскарова Елена Геннадьевна, адрес электронной почты: </w:t>
      </w:r>
      <w:hyperlink r:id="rId3">
        <w:r>
          <w:rPr>
            <w:rStyle w:val="Hyperlink"/>
            <w:b w:val="false"/>
            <w:sz w:val="26"/>
            <w:szCs w:val="26"/>
          </w:rPr>
          <w:t>askarova_eg@dvec.r</w:t>
        </w:r>
        <w:r>
          <w:rPr>
            <w:rStyle w:val="Hyperlink"/>
            <w:b w:val="false"/>
            <w:sz w:val="26"/>
            <w:szCs w:val="26"/>
            <w:lang w:val="en-US"/>
          </w:rPr>
          <w:t>u</w:t>
        </w:r>
      </w:hyperlink>
      <w:r>
        <w:rPr>
          <w:b w:val="false"/>
          <w:sz w:val="26"/>
          <w:szCs w:val="26"/>
        </w:rPr>
        <w:t>, контактный телефон: 8 (423) 265-72-74</w:t>
      </w:r>
    </w:p>
    <w:p>
      <w:pPr>
        <w:pStyle w:val="Tableheader"/>
        <w:widowControl w:val="false"/>
        <w:ind w:firstLine="540"/>
        <w:rPr>
          <w:rStyle w:val="Style7"/>
          <w:i w:val="false"/>
          <w:i w:val="false"/>
          <w:sz w:val="26"/>
          <w:szCs w:val="26"/>
        </w:rPr>
      </w:pPr>
      <w:r>
        <w:rPr>
          <w:sz w:val="26"/>
          <w:szCs w:val="26"/>
        </w:rPr>
        <w:t>Предмет продажи:</w:t>
      </w:r>
      <w:r>
        <w:rPr>
          <w:b w:val="false"/>
          <w:sz w:val="26"/>
          <w:szCs w:val="26"/>
        </w:rPr>
        <w:t xml:space="preserve"> Здание, назначение: нежилое, наименование: нежилое здание, кадастровый номер: 25:22:000000:936, площадь: 155,2 кв.м., количество этажей: 1, в том числе подземных: 0, год завершения строительства: 1987 (с движимым имуществом). </w:t>
      </w:r>
    </w:p>
    <w:p>
      <w:pPr>
        <w:pStyle w:val="Normal"/>
        <w:ind w:firstLine="540"/>
        <w:rPr>
          <w:shd w:fill="FFFF99" w:val="clear"/>
        </w:rPr>
      </w:pPr>
      <w:r>
        <w:rPr>
          <w:b/>
        </w:rPr>
        <w:t>Адрес местонахождения предмета продажи:</w:t>
      </w:r>
      <w:r>
        <w:rPr/>
        <w:t xml:space="preserve"> Приморский край, Черниговский район, с. Черниговка, ул. Буденного, 3.</w:t>
      </w:r>
    </w:p>
    <w:p>
      <w:pPr>
        <w:pStyle w:val="Normal"/>
        <w:ind w:firstLine="540"/>
        <w:rPr/>
      </w:pPr>
      <w:r>
        <w:rPr>
          <w:b/>
        </w:rPr>
        <w:t>Краткое описание Предмета продажи:</w:t>
      </w:r>
      <w:r>
        <w:rPr/>
        <w:t xml:space="preserve"> Нежилое одноэтажное здание площадью 155,2 кв.м. свободного назначения. Кадастровый номер:  25:22:000000:936, инвентарный номер: 05:253:002:000012040, инвентарный номер: 2229, условный номер: 25:22:00 00 00:00:02229/А. Движимое имущество в количестве 4 единицы, находящееся в здании: комплект металлических решеток,  охранно-пожарная сигнализация и система оповещения пожара, электроприбор отопительный (электрокотел), электросчетчик. Земельный участок для размещения здания предоставлен на праве аренды на срок по 07.02.2033. 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ind w:firstLine="540"/>
        <w:rPr>
          <w:b/>
        </w:rPr>
      </w:pPr>
      <w:r>
        <w:rPr>
          <w:b/>
        </w:rPr>
        <w:t xml:space="preserve">Обременения: </w:t>
      </w:r>
      <w:r>
        <w:rPr/>
        <w:t>отсутствуют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ind w:firstLine="540"/>
        <w:rPr/>
      </w:pPr>
      <w:r>
        <w:rPr>
          <w:b/>
        </w:rPr>
        <w:t>Начальная цена продажи</w:t>
      </w:r>
      <w:r>
        <w:rPr/>
        <w:t xml:space="preserve">: 1 </w:t>
      </w:r>
      <w:r>
        <w:rPr>
          <w:shd w:fill="FFFFFF" w:val="clear"/>
        </w:rPr>
        <w:t>047 675 (Один миллион сорок семь тысяч шестьсот семьдесят пять) руб. 00 коп.,</w:t>
      </w:r>
      <w:r>
        <w:rPr/>
        <w:t xml:space="preserve"> в том числе НДС по ставке 22%.</w:t>
      </w:r>
    </w:p>
    <w:p>
      <w:pPr>
        <w:pStyle w:val="Normal"/>
        <w:tabs>
          <w:tab w:val="clear" w:pos="708"/>
          <w:tab w:val="left" w:pos="426" w:leader="none"/>
        </w:tabs>
        <w:spacing w:before="120" w:after="120"/>
        <w:ind w:firstLine="540"/>
        <w:rPr/>
      </w:pPr>
      <w:r>
        <w:rPr>
          <w:b/>
        </w:rPr>
        <w:t>«Шаг» аукциона:</w:t>
      </w:r>
      <w:r>
        <w:rPr/>
        <w:t xml:space="preserve"> 1% от начальной цены продажи, указанной в настоящем Извещении, что составляет</w:t>
      </w:r>
      <w:r>
        <w:rPr>
          <w:shd w:fill="FFFFFF" w:val="clear"/>
        </w:rPr>
        <w:t xml:space="preserve"> 10 476 (Десять тысяч четыреста семьдесят шесть) руб. 75 коп., в том числе НДС по </w:t>
      </w:r>
      <w:r>
        <w:rPr/>
        <w:t>ставке 22%.</w:t>
      </w:r>
    </w:p>
    <w:p>
      <w:pPr>
        <w:pStyle w:val="Normal"/>
        <w:ind w:firstLine="540"/>
        <w:rPr/>
      </w:pPr>
      <w:bookmarkStart w:id="0" w:name="_GoBack"/>
      <w:bookmarkEnd w:id="0"/>
      <w:r>
        <w:rPr>
          <w:b/>
        </w:rPr>
        <w:t>Размер задатка</w:t>
      </w:r>
      <w:r>
        <w:rPr/>
        <w:t>: 52 383</w:t>
      </w:r>
      <w:r>
        <w:rPr>
          <w:shd w:fill="FFFFFF" w:val="clear"/>
        </w:rPr>
        <w:t xml:space="preserve"> (Пятьдесят две тысячи триста восемьдесят три) руб. 75 коп., НДС не облагает</w:t>
      </w:r>
      <w:r>
        <w:rPr/>
        <w:t>ся.</w:t>
      </w:r>
    </w:p>
    <w:p>
      <w:pPr>
        <w:pStyle w:val="Normal"/>
        <w:ind w:firstLine="540"/>
        <w:rPr>
          <w:b/>
        </w:rPr>
      </w:pPr>
      <w:r>
        <w:rPr>
          <w:b/>
        </w:rPr>
        <w:t xml:space="preserve">Срок и порядок внесения задатка: </w:t>
      </w:r>
      <w:r>
        <w:rPr/>
        <w:t>с начала приема заявок по</w:t>
      </w:r>
      <w:r>
        <w:rPr>
          <w:shd w:fill="FFFFFF" w:val="clear"/>
        </w:rPr>
        <w:t xml:space="preserve"> 17.03.2026.</w:t>
      </w:r>
    </w:p>
    <w:p>
      <w:pPr>
        <w:pStyle w:val="Normal"/>
        <w:ind w:firstLine="540"/>
        <w:rPr/>
      </w:pPr>
      <w:r>
        <w:rPr/>
        <w:t>Информация об условиях внесения задатка приведена в Документации о продаже.</w:t>
      </w:r>
    </w:p>
    <w:p>
      <w:pPr>
        <w:pStyle w:val="Normal"/>
        <w:ind w:firstLine="540"/>
        <w:rPr/>
      </w:pPr>
      <w:r>
        <w:rPr>
          <w:b/>
        </w:rPr>
        <w:t>Дата и время начала подачи Заявок</w:t>
      </w:r>
      <w:r>
        <w:rPr/>
        <w:t>: 29.01.2026, 17 ч. 00 мин. (по местному времени Продавца).</w:t>
      </w:r>
    </w:p>
    <w:p>
      <w:pPr>
        <w:pStyle w:val="Normal"/>
        <w:ind w:firstLine="540"/>
        <w:rPr>
          <w:rFonts w:eastAsia="Lucida Sans Unicode"/>
          <w:kern w:val="2"/>
          <w:shd w:fill="FFFF99" w:val="clear"/>
        </w:rPr>
      </w:pPr>
      <w:r>
        <w:rPr>
          <w:b/>
        </w:rPr>
        <w:t>Дата и время окончания подачи Заявок</w:t>
      </w:r>
      <w:r>
        <w:rPr/>
        <w:t>: 17.03.2026, 17 ч. 00 мин. (по местному времени Продавца).</w:t>
      </w:r>
    </w:p>
    <w:p>
      <w:pPr>
        <w:pStyle w:val="Normal"/>
        <w:ind w:firstLine="540"/>
        <w:rPr>
          <w:b/>
        </w:rPr>
      </w:pPr>
      <w:r>
        <w:rPr>
          <w:b/>
        </w:rPr>
        <w:t>Дата окончания рассмотрения Заявок</w:t>
      </w:r>
      <w:r>
        <w:rPr/>
        <w:t xml:space="preserve">: </w:t>
      </w:r>
      <w:r>
        <w:rPr/>
        <w:t>19</w:t>
      </w:r>
      <w:r>
        <w:rPr/>
        <w:t>.03.2026.</w:t>
      </w:r>
    </w:p>
    <w:p>
      <w:pPr>
        <w:pStyle w:val="Normal"/>
        <w:ind w:firstLine="540"/>
        <w:rPr>
          <w:rFonts w:eastAsia="Lucida Sans Unicode"/>
          <w:kern w:val="2"/>
          <w:shd w:fill="FFFF99" w:val="clear"/>
        </w:rPr>
      </w:pPr>
      <w:r>
        <w:rPr>
          <w:b/>
        </w:rPr>
        <w:t>Дата и время проведения Аукциона:</w:t>
      </w:r>
      <w:r>
        <w:rPr/>
        <w:t xml:space="preserve"> 2</w:t>
      </w:r>
      <w:r>
        <w:rPr/>
        <w:t>0</w:t>
      </w:r>
      <w:r>
        <w:rPr/>
        <w:t>.03.2026, 17 ч. 00 мин. (по местному времени Продавца).</w:t>
      </w:r>
    </w:p>
    <w:p>
      <w:pPr>
        <w:pStyle w:val="Normal"/>
        <w:ind w:firstLine="540"/>
        <w:rPr/>
      </w:pPr>
      <w:r>
        <w:rPr>
          <w:b/>
        </w:rPr>
        <w:t>Время ожидания ценового предложения Участника:</w:t>
      </w:r>
      <w:r>
        <w:rPr/>
        <w:t xml:space="preserve"> 30 (тридцать) минут от времени начала проведения аукциона.</w:t>
      </w:r>
    </w:p>
    <w:p>
      <w:pPr>
        <w:pStyle w:val="Normal"/>
        <w:ind w:firstLine="540"/>
        <w:rPr>
          <w:rFonts w:eastAsia="Lucida Sans Unicode"/>
          <w:kern w:val="2"/>
          <w:shd w:fill="FFFF99" w:val="clear"/>
        </w:rPr>
      </w:pPr>
      <w:r>
        <w:rPr>
          <w:b/>
        </w:rPr>
        <w:t>Дата и время подведения итогов Аукциона:</w:t>
      </w:r>
      <w:r>
        <w:rPr/>
        <w:t xml:space="preserve"> 2</w:t>
      </w:r>
      <w:r>
        <w:rPr/>
        <w:t>4</w:t>
      </w:r>
      <w:r>
        <w:rPr/>
        <w:t>.03.2026 г. в 17 ч. 00 мин (по местному времени Продавца).</w:t>
      </w:r>
    </w:p>
    <w:p>
      <w:pPr>
        <w:pStyle w:val="Normal"/>
        <w:ind w:firstLine="540"/>
        <w:rPr/>
      </w:pPr>
      <w:r>
        <w:rPr>
          <w:b/>
        </w:rPr>
        <w:t xml:space="preserve">Место подведения итогов: </w:t>
      </w:r>
      <w:r>
        <w:rPr/>
        <w:t>по адресу Продавца.</w:t>
      </w:r>
    </w:p>
    <w:p>
      <w:pPr>
        <w:pStyle w:val="Normal"/>
        <w:ind w:firstLine="540"/>
        <w:rPr/>
      </w:pPr>
      <w:r>
        <w:rPr>
          <w:b/>
        </w:rPr>
        <w:t>Наименование и адрес электронной торговой площадки для подачи Заявок:</w:t>
      </w:r>
      <w:r>
        <w:rPr/>
        <w:t xml:space="preserve"> Акционерное общество «Российский аукционный дом» (АО «РАД»), </w:t>
      </w:r>
      <w:hyperlink r:id="rId4">
        <w:r>
          <w:rPr>
            <w:rStyle w:val="Hyperlink"/>
          </w:rPr>
          <w:t>https://lot-online.ru</w:t>
        </w:r>
      </w:hyperlink>
      <w:r>
        <w:rPr/>
        <w:t>.</w:t>
      </w:r>
    </w:p>
    <w:p>
      <w:pPr>
        <w:pStyle w:val="Normal"/>
        <w:ind w:firstLine="540"/>
        <w:rPr/>
      </w:pPr>
      <w:r>
        <w:rPr>
          <w:b/>
        </w:rPr>
        <w:t>Порядок и форма подачи Заявок:</w:t>
      </w:r>
      <w:r>
        <w:rPr/>
        <w:t xml:space="preserve"> информация приведена в Документации о продаже.</w:t>
      </w:r>
    </w:p>
    <w:p>
      <w:pPr>
        <w:pStyle w:val="Normal"/>
        <w:ind w:firstLine="540"/>
        <w:rPr/>
      </w:pPr>
      <w:r>
        <w:rPr>
          <w:b/>
        </w:rPr>
        <w:t>Участники Аукциона</w:t>
      </w:r>
      <w:r>
        <w:rPr/>
        <w:t xml:space="preserve">: участвовать в аукционе может любое юридическое лицо независимо от организационно-правовой формы, формы собственности, места нахождения, а также места происхождения капитала, физическое лицо или индивидуальный предприниматель, заинтересованное в приобретении имущества, являющегося предметом аукциона, </w:t>
      </w:r>
      <w:r>
        <w:rPr>
          <w:color w:val="000000"/>
        </w:rPr>
        <w:t>чья заявка признана соответствующей требованиям Документации о продаже.</w:t>
      </w:r>
    </w:p>
    <w:p>
      <w:pPr>
        <w:pStyle w:val="Tableheader"/>
        <w:widowControl w:val="false"/>
        <w:ind w:firstLine="540"/>
        <w:rPr>
          <w:b w:val="false"/>
          <w:sz w:val="26"/>
          <w:szCs w:val="26"/>
        </w:rPr>
      </w:pPr>
      <w:r>
        <w:rPr>
          <w:sz w:val="26"/>
          <w:szCs w:val="26"/>
        </w:rPr>
        <w:t>Порядок подведения итогов Аукциона:</w:t>
      </w:r>
      <w:r>
        <w:rPr/>
        <w:t xml:space="preserve"> </w:t>
      </w:r>
      <w:r>
        <w:rPr>
          <w:b w:val="false"/>
          <w:sz w:val="26"/>
          <w:szCs w:val="26"/>
        </w:rPr>
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продаже. Победителем Аукциона признается Участник, предложивший наиболее высокую цену Договора.</w:t>
      </w:r>
    </w:p>
    <w:p>
      <w:pPr>
        <w:pStyle w:val="Tableheader"/>
        <w:widowControl w:val="false"/>
        <w:ind w:firstLine="630"/>
        <w:rPr>
          <w:b w:val="false"/>
          <w:sz w:val="26"/>
          <w:szCs w:val="26"/>
        </w:rPr>
      </w:pPr>
      <w:r>
        <w:rPr>
          <w:b w:val="false"/>
          <w:sz w:val="26"/>
          <w:szCs w:val="26"/>
        </w:rPr>
        <w:t>Описание условий и процедур проводимого Аукциона, порядок ознакомления Участников с иной информацией, ограничения участия в аукционе, срок и условия заключения договора купли-продажи, содержится в Документации о продаже.</w:t>
      </w:r>
    </w:p>
    <w:p>
      <w:pPr>
        <w:pStyle w:val="Tableheader"/>
        <w:widowControl w:val="false"/>
        <w:ind w:firstLine="630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Документация о продаже официально опубликована на сайте электронной торговой площадки в сети «Интернет» по адресу: </w:t>
      </w:r>
      <w:hyperlink r:id="rId5">
        <w:r>
          <w:rPr>
            <w:rStyle w:val="Hyperlink"/>
            <w:b w:val="false"/>
            <w:sz w:val="26"/>
            <w:szCs w:val="26"/>
          </w:rPr>
          <w:t>https://lot-online.r</w:t>
        </w:r>
        <w:r>
          <w:rPr>
            <w:rStyle w:val="Hyperlink"/>
            <w:b w:val="false"/>
            <w:sz w:val="26"/>
            <w:szCs w:val="26"/>
            <w:lang w:val="en-US"/>
          </w:rPr>
          <w:t>u</w:t>
        </w:r>
      </w:hyperlink>
      <w:r>
        <w:rPr>
          <w:b w:val="false"/>
          <w:sz w:val="26"/>
          <w:szCs w:val="26"/>
        </w:rPr>
        <w:t>.</w:t>
      </w:r>
    </w:p>
    <w:sectPr>
      <w:type w:val="nextPage"/>
      <w:pgSz w:w="11906" w:h="16838"/>
      <w:pgMar w:left="1418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neva CY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1134"/>
      </w:pPr>
      <w:rPr>
        <w:sz w:val="26"/>
        <w:i w:val="false"/>
        <w:b/>
        <w:szCs w:val="26"/>
      </w:rPr>
    </w:lvl>
    <w:lvl w:ilvl="2">
      <w:start w:val="1"/>
      <w:numFmt w:val="decimal"/>
      <w:lvlText w:val="%1.%2.%3"/>
      <w:lvlJc w:val="left"/>
      <w:pPr>
        <w:tabs>
          <w:tab w:val="num" w:pos="4962"/>
        </w:tabs>
        <w:ind w:left="4962" w:hanging="1134"/>
      </w:pPr>
      <w:rPr>
        <w:sz w:val="26"/>
        <w:i w:val="false"/>
        <w:b w:val="false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i w:val="false"/>
        <w:b w:val="false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i w:val="false"/>
        <w:b w:val="false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12e1b"/>
    <w:pPr>
      <w:widowControl/>
      <w:suppressAutoHyphens w:val="true"/>
      <w:bidi w:val="0"/>
      <w:spacing w:before="120" w:after="0"/>
      <w:jc w:val="both"/>
    </w:pPr>
    <w:rPr>
      <w:rFonts w:ascii="Times New Roman" w:hAnsi="Times New Roman" w:eastAsia="Times New Roman" w:cs="Times New Roman"/>
      <w:color w:val="auto"/>
      <w:kern w:val="0"/>
      <w:sz w:val="26"/>
      <w:szCs w:val="26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612e1b"/>
    <w:pPr>
      <w:keepNext w:val="true"/>
      <w:keepLines/>
      <w:pageBreakBefore/>
      <w:numPr>
        <w:ilvl w:val="0"/>
        <w:numId w:val="2"/>
      </w:numPr>
      <w:spacing w:before="480" w:after="240"/>
      <w:jc w:val="left"/>
      <w:outlineLvl w:val="0"/>
    </w:pPr>
    <w:rPr>
      <w:rFonts w:ascii="Arial" w:hAnsi="Arial"/>
      <w:b/>
      <w:kern w:val="2"/>
      <w:sz w:val="40"/>
    </w:rPr>
  </w:style>
  <w:style w:type="paragraph" w:styleId="Heading2">
    <w:name w:val="Heading 2"/>
    <w:basedOn w:val="Normal"/>
    <w:next w:val="Normal"/>
    <w:link w:val="2"/>
    <w:qFormat/>
    <w:rsid w:val="00612e1b"/>
    <w:pPr>
      <w:keepNext w:val="true"/>
      <w:numPr>
        <w:ilvl w:val="1"/>
        <w:numId w:val="2"/>
      </w:numPr>
      <w:spacing w:before="360" w:after="120"/>
      <w:jc w:val="left"/>
      <w:outlineLvl w:val="1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612e1b"/>
    <w:rPr>
      <w:rFonts w:ascii="Arial" w:hAnsi="Arial" w:eastAsia="Times New Roman" w:cs="Times New Roman"/>
      <w:b/>
      <w:kern w:val="2"/>
      <w:sz w:val="40"/>
      <w:szCs w:val="26"/>
      <w:lang w:eastAsia="ru-RU"/>
    </w:rPr>
  </w:style>
  <w:style w:type="character" w:styleId="2" w:customStyle="1">
    <w:name w:val="Заголовок 2 Знак"/>
    <w:basedOn w:val="DefaultParagraphFont"/>
    <w:qFormat/>
    <w:rsid w:val="00612e1b"/>
    <w:rPr>
      <w:rFonts w:ascii="Times New Roman" w:hAnsi="Times New Roman" w:eastAsia="Times New Roman" w:cs="Times New Roman"/>
      <w:b/>
      <w:sz w:val="32"/>
      <w:szCs w:val="26"/>
      <w:lang w:eastAsia="ru-RU"/>
    </w:rPr>
  </w:style>
  <w:style w:type="character" w:styleId="Hyperlink">
    <w:name w:val="Hyperlink"/>
    <w:uiPriority w:val="99"/>
    <w:rsid w:val="00612e1b"/>
    <w:rPr>
      <w:color w:val="0000FF"/>
      <w:u w:val="single"/>
    </w:rPr>
  </w:style>
  <w:style w:type="character" w:styleId="Style7" w:customStyle="1">
    <w:name w:val="комментарий"/>
    <w:qFormat/>
    <w:rsid w:val="00612e1b"/>
    <w:rPr>
      <w:b/>
      <w:i/>
      <w:shd w:fill="FFFF99" w:val="clear"/>
    </w:rPr>
  </w:style>
  <w:style w:type="character" w:styleId="Style8" w:customStyle="1">
    <w:name w:val="Текст сноски Знак"/>
    <w:basedOn w:val="DefaultParagraphFont"/>
    <w:uiPriority w:val="99"/>
    <w:semiHidden/>
    <w:qFormat/>
    <w:rsid w:val="00612e1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9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Style10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ohit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eastAsia="Arial Unicode MS" w:cs="Arial Unicode MS"/>
      <w:sz w:val="28"/>
      <w:szCs w:val="28"/>
    </w:rPr>
  </w:style>
  <w:style w:type="paragraph" w:styleId="Caption1111" w:customStyle="1">
    <w:name w:val="caption111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 w:customStyle="1">
    <w:name w:val="Пункт"/>
    <w:basedOn w:val="Normal"/>
    <w:qFormat/>
    <w:rsid w:val="00612e1b"/>
    <w:pPr>
      <w:numPr>
        <w:ilvl w:val="2"/>
        <w:numId w:val="2"/>
      </w:numPr>
    </w:pPr>
    <w:rPr/>
  </w:style>
  <w:style w:type="paragraph" w:styleId="Style13" w:customStyle="1">
    <w:name w:val="Подпункт"/>
    <w:basedOn w:val="Style12"/>
    <w:qFormat/>
    <w:rsid w:val="00612e1b"/>
    <w:pPr/>
    <w:rPr/>
  </w:style>
  <w:style w:type="paragraph" w:styleId="Style14" w:customStyle="1">
    <w:name w:val="Подподпункт"/>
    <w:basedOn w:val="Style13"/>
    <w:qFormat/>
    <w:rsid w:val="00612e1b"/>
    <w:pPr/>
    <w:rPr/>
  </w:style>
  <w:style w:type="paragraph" w:styleId="ListParagraph">
    <w:name w:val="List Paragraph"/>
    <w:basedOn w:val="Normal"/>
    <w:uiPriority w:val="34"/>
    <w:qFormat/>
    <w:rsid w:val="00612e1b"/>
    <w:pPr>
      <w:spacing w:before="120" w:after="0"/>
      <w:ind w:left="720" w:hanging="0"/>
      <w:contextualSpacing/>
      <w:jc w:val="left"/>
    </w:pPr>
    <w:rPr>
      <w:rFonts w:ascii="Geneva CY" w:hAnsi="Geneva CY" w:eastAsia="Geneva"/>
      <w:sz w:val="24"/>
      <w:lang w:eastAsia="en-US"/>
    </w:rPr>
  </w:style>
  <w:style w:type="paragraph" w:styleId="Tableheader" w:customStyle="1">
    <w:name w:val="Table_header"/>
    <w:basedOn w:val="Normal"/>
    <w:qFormat/>
    <w:rsid w:val="00612e1b"/>
    <w:pPr/>
    <w:rPr>
      <w:b/>
      <w:sz w:val="20"/>
      <w:szCs w:val="24"/>
    </w:rPr>
  </w:style>
  <w:style w:type="paragraph" w:styleId="Tabletext" w:customStyle="1">
    <w:name w:val="Table_text"/>
    <w:basedOn w:val="Normal"/>
    <w:qFormat/>
    <w:rsid w:val="00612e1b"/>
    <w:pPr/>
    <w:rPr>
      <w:sz w:val="20"/>
      <w:szCs w:val="24"/>
    </w:rPr>
  </w:style>
  <w:style w:type="paragraph" w:styleId="FootnoteText">
    <w:name w:val="Footnote Text"/>
    <w:basedOn w:val="Normal"/>
    <w:link w:val="Style8"/>
    <w:uiPriority w:val="99"/>
    <w:semiHidden/>
    <w:unhideWhenUsed/>
    <w:rsid w:val="00612e1b"/>
    <w:pPr>
      <w:spacing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Style15" w:customStyle="1">
    <w:name w:val="Без списка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iemn@dvec.ru" TargetMode="External"/><Relationship Id="rId3" Type="http://schemas.openxmlformats.org/officeDocument/2006/relationships/hyperlink" Target="mailto:askarova_eg@dvec.ru" TargetMode="External"/><Relationship Id="rId4" Type="http://schemas.openxmlformats.org/officeDocument/2006/relationships/hyperlink" Target="https://lot-online.ru/" TargetMode="External"/><Relationship Id="rId5" Type="http://schemas.openxmlformats.org/officeDocument/2006/relationships/hyperlink" Target="https://lot-online.ru/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AlterOffice/2025.2.1.0$Linux_X86_64 LibreOffice_project/d2c615264c9535987c375e0f04a158be6015ce3d</Application>
  <AppVersion>15.0000</AppVersion>
  <Pages>2</Pages>
  <Words>488</Words>
  <Characters>3412</Characters>
  <CharactersWithSpaces>3880</CharactersWithSpaces>
  <Paragraphs>25</Paragraphs>
  <Company>РусГидро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2025-08-19T09:28:00Z</dcterms:created>
  <dc:creator>Грибова Елена Владимировна</dc:creator>
  <dc:description/>
  <dc:language>ru-RU</dc:language>
  <cp:lastModifiedBy>askarova_eg</cp:lastModifiedBy>
  <dcterms:modified xsi:type="dcterms:W3CDTF">2026-01-26T10:14:37Z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